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 xml:space="preserve">мая </w:t>
      </w:r>
      <w:r>
        <w:rPr>
          <w:b/>
          <w:sz w:val="28"/>
          <w:szCs w:val="28"/>
        </w:rPr>
        <w:t xml:space="preserve">2024 года проведено заседание рабочей группы по профилактике террористических угроз, минимизации их последствий, противодействию распространения, идеологии терроризма Нижегородского района города Нижнего Новгорода</w:t>
      </w:r>
      <w:r>
        <w:rPr>
          <w:b/>
          <w:sz w:val="28"/>
          <w:szCs w:val="28"/>
        </w:rPr>
        <w:t xml:space="preserve"> под председательством </w:t>
      </w:r>
      <w:r>
        <w:rPr>
          <w:b/>
          <w:sz w:val="28"/>
          <w:szCs w:val="28"/>
        </w:rPr>
        <w:t xml:space="preserve">заместителя главы администрации города, </w:t>
      </w:r>
      <w:r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 xml:space="preserve">администрации Нижегородского района А.А.Рыболовлева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p>
      <w:pPr>
        <w:ind w:firstLine="77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2024 года проведено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аседание рабочей группы по профилактике террористических угроз, минимизации их последствий, противодействию распространения, идеологии терроризма Нижегородского района города Нижнего Новгорода под председательством заместителя главы администрации города, г</w:t>
      </w:r>
      <w:r>
        <w:rPr>
          <w:sz w:val="28"/>
          <w:szCs w:val="28"/>
        </w:rPr>
        <w:t xml:space="preserve">лавы администрации Нижегородского района А.А.Рыболовлева</w:t>
      </w:r>
      <w:r>
        <w:rPr>
          <w:sz w:val="28"/>
          <w:szCs w:val="28"/>
        </w:rPr>
        <w:t xml:space="preserve">.</w:t>
      </w:r>
      <w:r>
        <w:t xml:space="preserve"> </w:t>
      </w:r>
      <w:r>
        <w:rPr>
          <w:bCs/>
          <w:sz w:val="28"/>
          <w:szCs w:val="28"/>
        </w:rPr>
        <w:t xml:space="preserve">В нем приняли участие руководители силовых ведомств</w:t>
      </w:r>
      <w:r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структурных подразделений администрации Нижегородского района города Нижнего Новгорода.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заседании рассматривались </w:t>
      </w:r>
      <w:r>
        <w:rPr>
          <w:sz w:val="28"/>
          <w:szCs w:val="28"/>
        </w:rPr>
        <w:t xml:space="preserve">вопрос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об утверждении плана работы рабочей группы по профилактике террористических угроз на второе полугодие 2024 года;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о ситуации в сфере миграции на территории Нижегородского района города Нижнего Новгорода и о ходе реализации ОП № 5 Управления МВД России по городу Нижнему Новгороду мероприятий по профилактике терроризма среди трудовых мигрантов, прибывших их Центрально-Азиатского региона, в 2024 году;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о готовности образовательных учреждений района к проведению государственной итоговой аттестации и организации в них лагерей детского отдыха, состояние их антитеррористической защищенности, пожарной безопасности; 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о взаимодействии религиозных конфессий, этнических групп в работе, направленной на профилактику идеологии терроризма, проявлений национальной нетерпимости, на гармонизацию межнациональных и межконфессиональных отношений, проведение разъяснительной-профилактической работы с мигрантами и их интеграции в российское общество на территории Нижегородского района города Нижнего Новгорода. 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ek.naumova</dc:creator>
  <cp:keywords/>
  <dc:description/>
  <cp:revision>9</cp:revision>
  <dcterms:created xsi:type="dcterms:W3CDTF">2023-09-26T11:02:00Z</dcterms:created>
  <dcterms:modified xsi:type="dcterms:W3CDTF">2024-09-04T12:08:26Z</dcterms:modified>
</cp:coreProperties>
</file>